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一、网站超级管理员登录站群后台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二、管理中心——内容安全——触发日志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点击导出excel，分别检查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red"/>
          <w:lang w:val="en-US" w:eastAsia="zh-CN"/>
        </w:rPr>
        <w:t>文章、资料、模板、附件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的敏感信息内容触发日志</w:t>
      </w:r>
    </w:p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三、复制涉及敏感信息附件目录地址，发送信息技术中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心刘巧。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8862695" cy="2894330"/>
            <wp:effectExtent l="0" t="0" r="14605" b="12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D212D"/>
    <w:rsid w:val="172E6599"/>
    <w:rsid w:val="56364FAA"/>
    <w:rsid w:val="5D9159EC"/>
    <w:rsid w:val="6691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2024-04-03T01:07:00Z</dcterms:created>
  <dc:creator>lq</dc:creator>
  <cp:lastModifiedBy>lq</cp:lastModifiedBy>
  <dcterms:modified xsi:type="dcterms:W3CDTF">2024-04-03T01:26:44Z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A146657D1BBF49C0B2ED093E66D3EFE0</vt:lpwstr>
  </property>
</Properties>
</file>